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67" w:rsidRDefault="006D7C67" w:rsidP="006D7C67">
      <w:pPr>
        <w:rPr>
          <w:lang w:val="es-CR"/>
        </w:rPr>
      </w:pPr>
    </w:p>
    <w:p w:rsidR="006D7C67" w:rsidRPr="006D7C67" w:rsidRDefault="006D7C67" w:rsidP="006D7C67">
      <w:pPr>
        <w:pStyle w:val="Ttulo2"/>
        <w:rPr>
          <w:rFonts w:ascii="Arial" w:hAnsi="Arial" w:cs="Arial"/>
          <w:b/>
          <w:sz w:val="24"/>
          <w:szCs w:val="24"/>
          <w:lang w:val="es-CR"/>
        </w:rPr>
      </w:pPr>
      <w:r w:rsidRPr="006D7C67">
        <w:rPr>
          <w:rFonts w:ascii="Arial" w:hAnsi="Arial" w:cs="Arial"/>
          <w:b/>
          <w:sz w:val="24"/>
          <w:szCs w:val="24"/>
          <w:lang w:val="es-CR"/>
        </w:rPr>
        <w:t>Identificación de Roles</w:t>
      </w:r>
    </w:p>
    <w:p w:rsidR="006D7C67" w:rsidRDefault="006D7C67" w:rsidP="006D7C67">
      <w:pPr>
        <w:jc w:val="center"/>
        <w:rPr>
          <w:rFonts w:cs="Arial"/>
          <w:b/>
        </w:rPr>
      </w:pPr>
    </w:p>
    <w:p w:rsidR="006D7C67" w:rsidRPr="005D2554" w:rsidRDefault="006D7C67" w:rsidP="006D7C67">
      <w:pPr>
        <w:rPr>
          <w:rFonts w:cs="Arial"/>
        </w:rPr>
      </w:pPr>
    </w:p>
    <w:p w:rsidR="006D7C67" w:rsidRDefault="006D7C67" w:rsidP="006D7C67">
      <w:pPr>
        <w:spacing w:line="360" w:lineRule="auto"/>
        <w:jc w:val="both"/>
        <w:rPr>
          <w:rFonts w:cs="Arial"/>
        </w:rPr>
      </w:pPr>
      <w:r w:rsidRPr="005D2554">
        <w:rPr>
          <w:rFonts w:cs="Arial"/>
        </w:rPr>
        <w:t xml:space="preserve">Estos roles corresponden </w:t>
      </w:r>
      <w:r>
        <w:rPr>
          <w:rFonts w:cs="Arial"/>
        </w:rPr>
        <w:t xml:space="preserve">a las acciones y accesos que tiene el usuario, se establecen en el Catálogo de Mantenimiento de Usuarios, el cual es gestionado a su vez por el rol de Administrador de la unidad. </w:t>
      </w:r>
    </w:p>
    <w:p w:rsidR="006D7C67" w:rsidRDefault="006D7C67" w:rsidP="006D7C67">
      <w:pPr>
        <w:spacing w:line="360" w:lineRule="auto"/>
        <w:rPr>
          <w:rFonts w:cs="Arial"/>
        </w:rPr>
      </w:pPr>
    </w:p>
    <w:p w:rsidR="006D7C67" w:rsidRDefault="006D7C67" w:rsidP="006D7C6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La información acá expuesta se establece </w:t>
      </w:r>
      <w:r w:rsidRPr="00F44F23">
        <w:rPr>
          <w:rFonts w:cs="Arial"/>
        </w:rPr>
        <w:t>con el fin de asegurar el acceso a la información, de acuerdo con las competencias laborales de l</w:t>
      </w:r>
      <w:r>
        <w:rPr>
          <w:rFonts w:cs="Arial"/>
        </w:rPr>
        <w:t xml:space="preserve">os (as) </w:t>
      </w:r>
      <w:r w:rsidRPr="006150CF">
        <w:rPr>
          <w:rFonts w:cs="Arial"/>
        </w:rPr>
        <w:t>funcionarios de la Unidad</w:t>
      </w:r>
      <w:r>
        <w:rPr>
          <w:rFonts w:cs="Arial"/>
        </w:rPr>
        <w:t xml:space="preserve">, brindado </w:t>
      </w:r>
      <w:r w:rsidRPr="00F44F23">
        <w:rPr>
          <w:rFonts w:cs="Arial"/>
        </w:rPr>
        <w:t xml:space="preserve">seguridad </w:t>
      </w:r>
      <w:r>
        <w:rPr>
          <w:rFonts w:cs="Arial"/>
        </w:rPr>
        <w:t>en el sistema al "(...) proporcionar una secuencia de tres mecanismos conocidos por sus iniciales en inglés como la triple A: autenticación, autorización y auditoría o registro."</w:t>
      </w:r>
      <w:r>
        <w:rPr>
          <w:rStyle w:val="Refdenotaalpie"/>
          <w:rFonts w:cs="Arial"/>
        </w:rPr>
        <w:footnoteReference w:id="1"/>
      </w:r>
    </w:p>
    <w:p w:rsidR="006D7C67" w:rsidRDefault="006D7C67" w:rsidP="006D7C67">
      <w:pPr>
        <w:spacing w:line="360" w:lineRule="auto"/>
        <w:jc w:val="both"/>
        <w:rPr>
          <w:rFonts w:cs="Arial"/>
        </w:rPr>
      </w:pPr>
    </w:p>
    <w:p w:rsidR="006D7C67" w:rsidRDefault="006D7C67" w:rsidP="006D7C6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Los roles en el </w:t>
      </w:r>
      <w:proofErr w:type="spellStart"/>
      <w:r>
        <w:rPr>
          <w:rFonts w:cs="Arial"/>
        </w:rPr>
        <w:t>SiGeDI</w:t>
      </w:r>
      <w:proofErr w:type="spellEnd"/>
      <w:r>
        <w:rPr>
          <w:rFonts w:cs="Arial"/>
        </w:rPr>
        <w:t xml:space="preserve"> se establecen con el fin de determinar: el control de acceso al sistema y a la sección donde labora la persona -de ser requerido-, los derechos y restricciones de consultar documentos y módulos de acuerdo con las competencias de la persona en la unidad donde labora, asimismo, y para brindar transparencia tanto a nivel interno como externo de la unidad se crea un rol que brinda permisos para acceder a los documentos y expedientes, y así  se reflejan los controles y  accesos; tal como lo indica la ISO/IEC/ 27002:2013. "b. Controlar qué datos pueden ser accedidos por un usuario determinado".</w:t>
      </w:r>
    </w:p>
    <w:p w:rsidR="006D7C67" w:rsidRDefault="006D7C67" w:rsidP="006D7C67">
      <w:pPr>
        <w:spacing w:line="360" w:lineRule="auto"/>
        <w:jc w:val="both"/>
        <w:rPr>
          <w:rFonts w:cs="Arial"/>
        </w:rPr>
      </w:pPr>
    </w:p>
    <w:p w:rsidR="006D7C67" w:rsidRDefault="006D7C67" w:rsidP="006D7C6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Esta Tabla de perfiles y roles va acompañada de registro de ingreso y egreso de usuarios al </w:t>
      </w:r>
      <w:proofErr w:type="spellStart"/>
      <w:r>
        <w:rPr>
          <w:rFonts w:cs="Arial"/>
        </w:rPr>
        <w:t>SiGeDI</w:t>
      </w:r>
      <w:proofErr w:type="spellEnd"/>
      <w:r>
        <w:rPr>
          <w:rFonts w:cs="Arial"/>
        </w:rPr>
        <w:t xml:space="preserve">. </w:t>
      </w:r>
    </w:p>
    <w:p w:rsidR="006D7C67" w:rsidRDefault="006D7C67" w:rsidP="006D7C67">
      <w:pPr>
        <w:jc w:val="center"/>
        <w:rPr>
          <w:rFonts w:cs="Arial"/>
          <w:b/>
        </w:rPr>
        <w:sectPr w:rsidR="006D7C67" w:rsidSect="00525491">
          <w:headerReference w:type="first" r:id="rId7"/>
          <w:pgSz w:w="12240" w:h="15840"/>
          <w:pgMar w:top="851" w:right="1701" w:bottom="851" w:left="1701" w:header="0" w:footer="709" w:gutter="0"/>
          <w:cols w:space="708"/>
          <w:titlePg/>
          <w:docGrid w:linePitch="360"/>
        </w:sectPr>
      </w:pPr>
    </w:p>
    <w:p w:rsidR="006D7C67" w:rsidRDefault="006D7C67" w:rsidP="006D7C67">
      <w:pPr>
        <w:jc w:val="center"/>
        <w:rPr>
          <w:rFonts w:cs="Arial"/>
          <w:b/>
        </w:rPr>
      </w:pPr>
    </w:p>
    <w:p w:rsidR="006D7C67" w:rsidRDefault="006D7C67" w:rsidP="006D7C67">
      <w:pPr>
        <w:jc w:val="center"/>
        <w:rPr>
          <w:rFonts w:cs="Arial"/>
          <w:b/>
        </w:rPr>
      </w:pPr>
      <w:r w:rsidRPr="00F10CCB">
        <w:rPr>
          <w:rFonts w:cs="Arial"/>
          <w:b/>
        </w:rPr>
        <w:t xml:space="preserve">Tabla de perfiles y roles </w:t>
      </w:r>
    </w:p>
    <w:p w:rsidR="006D7C67" w:rsidRDefault="006D7C67" w:rsidP="006D7C67">
      <w:pPr>
        <w:jc w:val="center"/>
        <w:rPr>
          <w:rFonts w:cs="Arial"/>
          <w:b/>
        </w:rPr>
      </w:pPr>
    </w:p>
    <w:p w:rsidR="006D7C67" w:rsidRPr="001F46FF" w:rsidRDefault="006D7C67" w:rsidP="006D7C67">
      <w:pPr>
        <w:jc w:val="both"/>
        <w:rPr>
          <w:rFonts w:eastAsia="Times New Roman" w:cs="Arial"/>
          <w:color w:val="000000"/>
          <w:szCs w:val="24"/>
          <w:lang w:eastAsia="es-CR"/>
        </w:rPr>
      </w:pPr>
      <w:r w:rsidRPr="001F46FF">
        <w:rPr>
          <w:rFonts w:eastAsia="Times New Roman" w:cs="Arial"/>
          <w:color w:val="000000"/>
          <w:szCs w:val="24"/>
          <w:lang w:eastAsia="es-CR"/>
        </w:rPr>
        <w:t xml:space="preserve">La administración de </w:t>
      </w:r>
      <w:r>
        <w:rPr>
          <w:rFonts w:eastAsia="Times New Roman" w:cs="Arial"/>
          <w:color w:val="000000"/>
          <w:szCs w:val="24"/>
          <w:lang w:eastAsia="es-CR"/>
        </w:rPr>
        <w:t>los usuarios/roles en el sistema es responsabilidad de la Instancia universitaria, específicamente del rol Administrador de Unidad.</w:t>
      </w:r>
    </w:p>
    <w:p w:rsidR="006D7C67" w:rsidRDefault="006D7C67" w:rsidP="006D7C67">
      <w:pPr>
        <w:jc w:val="center"/>
        <w:rPr>
          <w:rFonts w:cs="Arial"/>
          <w:b/>
        </w:rPr>
      </w:pPr>
    </w:p>
    <w:tbl>
      <w:tblPr>
        <w:tblW w:w="9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2079"/>
        <w:gridCol w:w="4895"/>
      </w:tblGrid>
      <w:tr w:rsidR="006D7C67" w:rsidRPr="00C72BE3" w:rsidTr="00891FD0">
        <w:trPr>
          <w:trHeight w:val="414"/>
          <w:tblHeader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C67" w:rsidRPr="003F39DF" w:rsidRDefault="006D7C67" w:rsidP="00891F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3F39DF">
              <w:rPr>
                <w:rFonts w:cs="Arial"/>
                <w:b/>
              </w:rPr>
              <w:t xml:space="preserve">Perfil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C67" w:rsidRPr="003F39DF" w:rsidRDefault="006D7C67" w:rsidP="00891F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3F39DF">
              <w:rPr>
                <w:rFonts w:cs="Arial"/>
                <w:b/>
              </w:rPr>
              <w:t>Rol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C67" w:rsidRPr="003F39DF" w:rsidRDefault="006D7C67" w:rsidP="00891FD0">
            <w:pPr>
              <w:jc w:val="center"/>
              <w:rPr>
                <w:rFonts w:cs="Arial"/>
                <w:b/>
              </w:rPr>
            </w:pPr>
            <w:r w:rsidRPr="003F39DF">
              <w:rPr>
                <w:rFonts w:cs="Arial"/>
                <w:b/>
              </w:rPr>
              <w:t xml:space="preserve">Descripción del Rol </w:t>
            </w:r>
          </w:p>
        </w:tc>
      </w:tr>
      <w:tr w:rsidR="006D7C67" w:rsidRPr="00C72BE3" w:rsidTr="00891FD0">
        <w:trPr>
          <w:trHeight w:val="91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Jefes administrativos, encargados  de personal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bookmarkStart w:id="0" w:name="RANGE!B1"/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Administrador de Unidad</w:t>
            </w:r>
            <w:bookmarkEnd w:id="0"/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99" w:rsidRPr="006041DB" w:rsidRDefault="00B3376B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Administra el sistema</w:t>
            </w:r>
            <w:r w:rsidR="006D7C67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tanto a nivel de la estructura jerárquica de la unidad como del recurso humano. </w:t>
            </w:r>
            <w:r w:rsidR="00C75199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(brinda los roles al personal) </w:t>
            </w:r>
          </w:p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br/>
              <w:t>Es una estructura propia del Sistema.</w:t>
            </w:r>
          </w:p>
        </w:tc>
      </w:tr>
      <w:tr w:rsidR="006D7C67" w:rsidRPr="00C72BE3" w:rsidTr="00891FD0">
        <w:trPr>
          <w:trHeight w:val="12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footnoteReference w:customMarkFollows="1" w:id="2"/>
              <w:t>Archivistas o personas encargadas de los archivos puede ser: Recepcionistas, oficinistas, secretarias</w:t>
            </w:r>
            <w:r>
              <w:rPr>
                <w:rStyle w:val="Refdenotaalpie"/>
                <w:rFonts w:eastAsia="Times New Roman" w:cs="Arial"/>
                <w:color w:val="000000"/>
                <w:szCs w:val="24"/>
                <w:lang w:eastAsia="es-CR"/>
              </w:rPr>
              <w:footnoteReference w:id="3"/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Archivo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F8" w:rsidRPr="006041DB" w:rsidRDefault="00B3376B" w:rsidP="00B3376B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Lleva a cabo la configuración del sistema</w:t>
            </w:r>
            <w:r w:rsidR="009B59F8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, con los requerimientos propios de la 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unidad y la aplicación de </w:t>
            </w:r>
            <w:r w:rsidR="006D7C67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los procesos técnicos archivísticos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, además puede</w:t>
            </w:r>
            <w:r w:rsidR="006D7C67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brinda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r</w:t>
            </w:r>
            <w:r w:rsidR="006D7C67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acc</w:t>
            </w:r>
            <w:r w:rsidR="009B59F8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eso a los documentos públicos. </w:t>
            </w:r>
          </w:p>
          <w:p w:rsidR="009B59F8" w:rsidRPr="009B59F8" w:rsidRDefault="009B59F8" w:rsidP="009B59F8">
            <w:pPr>
              <w:pStyle w:val="Prrafodelista"/>
              <w:rPr>
                <w:rFonts w:eastAsia="Times New Roman" w:cs="Arial"/>
                <w:color w:val="000000"/>
                <w:szCs w:val="24"/>
                <w:lang w:eastAsia="es-CR"/>
              </w:rPr>
            </w:pPr>
          </w:p>
          <w:p w:rsidR="006D7C67" w:rsidRDefault="006D7C67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9B59F8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Este es el usuario clave en las unidades para la efectiva aplicación del Sistema. </w:t>
            </w:r>
          </w:p>
          <w:p w:rsidR="009B59F8" w:rsidRDefault="009B59F8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</w:p>
          <w:p w:rsidR="009B59F8" w:rsidRDefault="009B59F8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Este Rol ya incluye por defecto los siguientes roles:  </w:t>
            </w:r>
          </w:p>
          <w:p w:rsidR="00B3376B" w:rsidRDefault="00B3376B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Asignar expediente</w:t>
            </w:r>
          </w:p>
          <w:p w:rsidR="00B3376B" w:rsidRDefault="00B3376B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Asistente de dirección</w:t>
            </w:r>
          </w:p>
          <w:p w:rsidR="00B3376B" w:rsidRDefault="00B3376B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Creación de plantillas</w:t>
            </w:r>
          </w:p>
          <w:p w:rsidR="00B3376B" w:rsidRDefault="00B3376B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Ingreso de documentos</w:t>
            </w:r>
          </w:p>
          <w:p w:rsidR="00B3376B" w:rsidRDefault="00B3376B" w:rsidP="009B59F8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Lectura general </w:t>
            </w:r>
          </w:p>
          <w:p w:rsidR="00B3376B" w:rsidRPr="006041DB" w:rsidRDefault="00B3376B" w:rsidP="00B3376B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Recepción</w:t>
            </w:r>
          </w:p>
        </w:tc>
      </w:tr>
      <w:tr w:rsidR="006D7C67" w:rsidRPr="00C72BE3" w:rsidTr="00891FD0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Depende de la unidad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Asignar expediente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Permite al usuario agregar documentos a expedientes ya creados por el rol de archivo.</w:t>
            </w:r>
          </w:p>
        </w:tc>
      </w:tr>
      <w:tr w:rsidR="006D7C67" w:rsidRPr="00C72BE3" w:rsidTr="00891FD0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Secretaria, recepcionista.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Asistente de dirección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6041DB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Se usa para notificar cada vez que un documento fue aprobado y pasa para despacho</w:t>
            </w:r>
            <w:r w:rsidR="00B3376B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.</w:t>
            </w:r>
          </w:p>
        </w:tc>
      </w:tr>
      <w:tr w:rsidR="009E3470" w:rsidRPr="00C72BE3" w:rsidTr="00891FD0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70" w:rsidRPr="00C72BE3" w:rsidRDefault="009E3470" w:rsidP="009E347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val="es-CR" w:eastAsia="es-CR"/>
              </w:rPr>
              <w:t>Dirección, jefaturas, coordinadores, puestos que tengan a cargo personal.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70" w:rsidRPr="00C72BE3" w:rsidRDefault="009E3470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val="es-CR" w:eastAsia="es-CR"/>
              </w:rPr>
              <w:t>Consulta de asignaciones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70" w:rsidRPr="006041DB" w:rsidRDefault="009E3470" w:rsidP="009E347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Permite consultar 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los documentos 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asigna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dos a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los usuarios de la unidad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. </w:t>
            </w:r>
          </w:p>
        </w:tc>
      </w:tr>
      <w:tr w:rsidR="006D7C67" w:rsidRPr="00C72BE3" w:rsidTr="00891FD0">
        <w:trPr>
          <w:trHeight w:val="103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lastRenderedPageBreak/>
              <w:t xml:space="preserve">Depende de la Unidad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Creación de plantillas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9E347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Perm</w:t>
            </w:r>
            <w:r w:rsidR="009E3470"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ite </w:t>
            </w: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la creación y actualización de plantillas.</w:t>
            </w:r>
            <w:r w:rsidRPr="009E3470">
              <w:rPr>
                <w:rFonts w:eastAsia="Times New Roman" w:cs="Arial"/>
                <w:color w:val="0070C0"/>
                <w:szCs w:val="24"/>
                <w:lang w:eastAsia="es-CR"/>
              </w:rPr>
              <w:t xml:space="preserve"> </w:t>
            </w:r>
          </w:p>
        </w:tc>
      </w:tr>
      <w:tr w:rsidR="006D7C67" w:rsidRPr="00C72BE3" w:rsidTr="00891FD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C3C90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Personas con competencia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C3C90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Documento con información restringida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954805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C3C90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Permite crear documentos 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que contienen información </w:t>
            </w:r>
            <w:r w:rsidR="000413FC">
              <w:rPr>
                <w:rFonts w:eastAsia="Times New Roman" w:cs="Arial"/>
                <w:color w:val="000000"/>
                <w:szCs w:val="24"/>
                <w:lang w:eastAsia="es-CR"/>
              </w:rPr>
              <w:t>restringida.</w:t>
            </w: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</w:t>
            </w:r>
            <w:r w:rsidR="00954805">
              <w:rPr>
                <w:rFonts w:eastAsia="Times New Roman" w:cs="Arial"/>
                <w:color w:val="000000"/>
                <w:szCs w:val="24"/>
                <w:lang w:eastAsia="es-CR"/>
              </w:rPr>
              <w:t>(como casos de  procesos administrativos)</w:t>
            </w:r>
          </w:p>
        </w:tc>
      </w:tr>
      <w:tr w:rsidR="00733D49" w:rsidRPr="00C72BE3" w:rsidTr="00891FD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9" w:rsidRPr="00C72BE3" w:rsidRDefault="00733D49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Personas con competencia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9" w:rsidRDefault="00733D49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Documento con información sensible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9" w:rsidRPr="00CC3C90" w:rsidRDefault="00954805" w:rsidP="007E4945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CC3C90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Permite crear documentos 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que contienen información 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>sensible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>.</w:t>
            </w: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>(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>información</w:t>
            </w:r>
            <w:r w:rsidR="007E4945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personal como</w:t>
            </w:r>
            <w:r w:rsidR="006041DB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médica, religiosa, entre otros</w:t>
            </w:r>
            <w:r>
              <w:rPr>
                <w:rFonts w:eastAsia="Times New Roman" w:cs="Arial"/>
                <w:color w:val="000000"/>
                <w:szCs w:val="24"/>
                <w:lang w:eastAsia="es-CR"/>
              </w:rPr>
              <w:t>)</w:t>
            </w:r>
          </w:p>
        </w:tc>
      </w:tr>
      <w:tr w:rsidR="006D7C67" w:rsidRPr="00C72BE3" w:rsidTr="00891FD0">
        <w:trPr>
          <w:trHeight w:val="103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Personas con competencia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Ingreso de documentos confidenciales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>Permite agregar documentos externos de forma confidencial</w:t>
            </w:r>
          </w:p>
        </w:tc>
      </w:tr>
      <w:tr w:rsidR="006D7C67" w:rsidRPr="00C72BE3" w:rsidTr="00891FD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Recepcionistas, oficinistas, secretarias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Ingreso de documentos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041DB" w:rsidP="006041DB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>Puede ag</w:t>
            </w:r>
            <w:r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regar documentos externos al </w:t>
            </w:r>
            <w:proofErr w:type="spellStart"/>
            <w:r>
              <w:rPr>
                <w:rFonts w:eastAsia="Times New Roman" w:cs="Arial"/>
                <w:color w:val="000000"/>
                <w:szCs w:val="24"/>
                <w:lang w:val="es-CR" w:eastAsia="es-CR"/>
              </w:rPr>
              <w:t>SiGeDI</w:t>
            </w:r>
            <w:proofErr w:type="spellEnd"/>
          </w:p>
        </w:tc>
      </w:tr>
      <w:tr w:rsidR="006D7C67" w:rsidRPr="00C72BE3" w:rsidTr="00891FD0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Recepcionistas, todo el personal -Depende de la unidad-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Lectura</w:t>
            </w: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general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041DB" w:rsidP="006041DB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>Puede ver</w:t>
            </w: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 todos los documentos de </w:t>
            </w: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>la unidad</w:t>
            </w:r>
            <w:r w:rsidRPr="006041DB">
              <w:rPr>
                <w:rFonts w:eastAsia="Times New Roman" w:cs="Arial"/>
                <w:color w:val="0070C0"/>
                <w:szCs w:val="24"/>
                <w:lang w:val="es-CR" w:eastAsia="es-CR"/>
              </w:rPr>
              <w:t xml:space="preserve"> </w:t>
            </w:r>
          </w:p>
        </w:tc>
      </w:tr>
      <w:tr w:rsidR="006D7C67" w:rsidRPr="00C72BE3" w:rsidTr="00891FD0">
        <w:trPr>
          <w:trHeight w:val="106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Depende de la unidad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Lectura de metadatos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DB" w:rsidRDefault="006041DB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Puede ver todo lo que entra y sale de la </w:t>
            </w: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>unidad,</w:t>
            </w:r>
            <w:r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 pero solo los metadatos no los PDF</w:t>
            </w:r>
            <w:r w:rsidR="006D7C67" w:rsidRPr="006041DB">
              <w:rPr>
                <w:rFonts w:eastAsia="Times New Roman" w:cs="Arial"/>
                <w:color w:val="000000"/>
                <w:szCs w:val="24"/>
                <w:lang w:val="es-CR" w:eastAsia="es-CR"/>
              </w:rPr>
              <w:t>.</w:t>
            </w:r>
            <w:r w:rsidR="006D7C67"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</w:t>
            </w:r>
          </w:p>
          <w:p w:rsidR="006041DB" w:rsidRDefault="006041DB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</w:p>
          <w:p w:rsidR="006D7C67" w:rsidRPr="00C72BE3" w:rsidRDefault="006041DB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>No debe asignar este rol, si asigno el rol de Lectura general</w:t>
            </w:r>
            <w:r w:rsidR="006D7C67"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 </w:t>
            </w:r>
          </w:p>
        </w:tc>
      </w:tr>
      <w:tr w:rsidR="006D7C67" w:rsidRPr="00C72BE3" w:rsidTr="00891FD0">
        <w:trPr>
          <w:trHeight w:val="9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Personas con competencia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Permisos de acceso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Permite a los usuarios con la competencia de acuerdo a lo establecido en la identificación de la serie documental el acceso a documentos confidenciales y a los expedientes restringidos y confidenciales.</w:t>
            </w:r>
          </w:p>
        </w:tc>
      </w:tr>
      <w:tr w:rsidR="006D7C67" w:rsidRPr="00C72BE3" w:rsidTr="006041DB">
        <w:trPr>
          <w:trHeight w:val="9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9E3470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>
              <w:rPr>
                <w:rFonts w:eastAsia="Times New Roman" w:cs="Arial"/>
                <w:color w:val="000000"/>
                <w:szCs w:val="24"/>
                <w:lang w:eastAsia="es-CR"/>
              </w:rPr>
              <w:t xml:space="preserve">Direcciones, Jefaturas, </w:t>
            </w:r>
            <w:r w:rsidR="006D7C67"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Coordinaciones intermedias, personal que requiera dar seguimiento a procesos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Reasignación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C67" w:rsidRPr="00C72BE3" w:rsidRDefault="006041DB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Permite reasignar documentos a otros usuarios del sistema</w:t>
            </w:r>
          </w:p>
        </w:tc>
      </w:tr>
      <w:tr w:rsidR="006D7C67" w:rsidRPr="00C72BE3" w:rsidTr="006041DB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Recepcionistas, oficinistas, secretarias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6041DB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Recepción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C67" w:rsidRPr="006041DB" w:rsidRDefault="006041DB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6041DB">
              <w:rPr>
                <w:rFonts w:eastAsia="Times New Roman" w:cs="Arial"/>
                <w:color w:val="000000"/>
                <w:szCs w:val="24"/>
                <w:lang w:eastAsia="es-CR"/>
              </w:rPr>
              <w:t>Recibe documentos y los tramita antes de la asignación</w:t>
            </w:r>
          </w:p>
        </w:tc>
      </w:tr>
      <w:tr w:rsidR="006D7C67" w:rsidRPr="00C72BE3" w:rsidTr="00891FD0">
        <w:trPr>
          <w:trHeight w:val="615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327585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eastAsia="es-CR"/>
              </w:rPr>
            </w:pPr>
            <w:r w:rsidRPr="00C72BE3">
              <w:rPr>
                <w:rFonts w:eastAsia="Times New Roman" w:cs="Arial"/>
                <w:color w:val="000000"/>
                <w:szCs w:val="24"/>
                <w:lang w:eastAsia="es-CR"/>
              </w:rPr>
              <w:t>Todo funcionario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327585">
              <w:rPr>
                <w:rFonts w:eastAsia="Times New Roman" w:cs="Arial"/>
                <w:color w:val="000000"/>
                <w:szCs w:val="24"/>
                <w:lang w:val="es-CR" w:eastAsia="es-CR"/>
              </w:rPr>
              <w:footnoteReference w:customMarkFollows="1" w:id="4"/>
              <w:t>Usuario Básico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67" w:rsidRPr="00C72BE3" w:rsidRDefault="006D7C67" w:rsidP="00891FD0">
            <w:pPr>
              <w:jc w:val="both"/>
              <w:rPr>
                <w:rFonts w:eastAsia="Times New Roman" w:cs="Arial"/>
                <w:color w:val="000000"/>
                <w:szCs w:val="24"/>
                <w:lang w:val="es-CR" w:eastAsia="es-CR"/>
              </w:rPr>
            </w:pPr>
            <w:r w:rsidRPr="00327585">
              <w:rPr>
                <w:rFonts w:eastAsia="Times New Roman" w:cs="Arial"/>
                <w:color w:val="000000"/>
                <w:szCs w:val="24"/>
                <w:lang w:val="es-CR" w:eastAsia="es-CR"/>
              </w:rPr>
              <w:t xml:space="preserve">El sistema lo asigna de forma automática. </w:t>
            </w:r>
          </w:p>
        </w:tc>
      </w:tr>
    </w:tbl>
    <w:p w:rsidR="006D7C67" w:rsidRDefault="006D7C67" w:rsidP="006D7C67">
      <w:pPr>
        <w:rPr>
          <w:lang w:val="es-CR"/>
        </w:rPr>
      </w:pPr>
    </w:p>
    <w:p w:rsidR="006D7C67" w:rsidRDefault="006D7C67" w:rsidP="006D7C67">
      <w:pPr>
        <w:rPr>
          <w:lang w:val="es-CR"/>
        </w:rPr>
      </w:pPr>
      <w:r>
        <w:rPr>
          <w:lang w:val="es-CR"/>
        </w:rPr>
        <w:br w:type="page"/>
      </w:r>
    </w:p>
    <w:p w:rsidR="006D7C67" w:rsidRDefault="006D7C67" w:rsidP="006D7C67">
      <w:pPr>
        <w:rPr>
          <w:lang w:val="es-CR"/>
        </w:rPr>
        <w:sectPr w:rsidR="006D7C67" w:rsidSect="00525491">
          <w:pgSz w:w="12240" w:h="15840"/>
          <w:pgMar w:top="851" w:right="1701" w:bottom="851" w:left="1701" w:header="0" w:footer="709" w:gutter="0"/>
          <w:cols w:space="708"/>
          <w:titlePg/>
          <w:docGrid w:linePitch="360"/>
        </w:sectPr>
      </w:pPr>
    </w:p>
    <w:p w:rsidR="006D7C67" w:rsidRDefault="006D7C67" w:rsidP="006D7C67">
      <w:pPr>
        <w:rPr>
          <w:lang w:val="es-CR"/>
        </w:rPr>
      </w:pPr>
    </w:p>
    <w:p w:rsidR="006D7C67" w:rsidRDefault="006D7C67" w:rsidP="006D7C67">
      <w:pPr>
        <w:jc w:val="center"/>
        <w:rPr>
          <w:b/>
        </w:rPr>
      </w:pPr>
      <w:r>
        <w:rPr>
          <w:b/>
        </w:rPr>
        <w:t>REGISTRO DE ROLES ASIGNADOS POR UNIDAD</w:t>
      </w:r>
    </w:p>
    <w:p w:rsidR="006D7C67" w:rsidRDefault="006D7C67" w:rsidP="006D7C67">
      <w:pPr>
        <w:jc w:val="center"/>
        <w:rPr>
          <w:b/>
        </w:rPr>
      </w:pPr>
    </w:p>
    <w:p w:rsidR="006D7C67" w:rsidRDefault="006D7C67" w:rsidP="006D7C67">
      <w:pPr>
        <w:jc w:val="both"/>
      </w:pPr>
      <w:r w:rsidRPr="004E019A">
        <w:t xml:space="preserve">No es requerido completar el siguiente </w:t>
      </w:r>
      <w:r>
        <w:t>cuadro, no obstante, se recomienda con el fin de establecer con la dirección/jefatura de la unidad las responsabilidades de las personas que van a ingresar al sistema.</w:t>
      </w:r>
    </w:p>
    <w:p w:rsidR="006D7C67" w:rsidRDefault="006D7C67" w:rsidP="006D7C67">
      <w:pPr>
        <w:jc w:val="both"/>
      </w:pPr>
    </w:p>
    <w:p w:rsidR="006D7C67" w:rsidRDefault="006D7C67" w:rsidP="006D7C67">
      <w:pPr>
        <w:jc w:val="both"/>
      </w:pPr>
      <w:r>
        <w:t xml:space="preserve">Importante: </w:t>
      </w:r>
    </w:p>
    <w:p w:rsidR="006D7C67" w:rsidRDefault="006D7C67" w:rsidP="006D7C67">
      <w:pPr>
        <w:jc w:val="both"/>
      </w:pPr>
      <w:r>
        <w:t>- Solo pueden ingresar usuarios con correo institucional @ucr.ac.cr</w:t>
      </w:r>
    </w:p>
    <w:p w:rsidR="006D7C67" w:rsidRDefault="006D7C67" w:rsidP="006D7C67">
      <w:pPr>
        <w:jc w:val="both"/>
      </w:pPr>
      <w:r>
        <w:t xml:space="preserve">- Antes de ingresar al Sistema se debe definir el rol de Archivo y el rol de Administrador Unidad. </w:t>
      </w:r>
    </w:p>
    <w:p w:rsidR="006D7C67" w:rsidRDefault="006D7C67" w:rsidP="006D7C67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958"/>
        <w:gridCol w:w="627"/>
        <w:gridCol w:w="806"/>
        <w:gridCol w:w="722"/>
        <w:gridCol w:w="917"/>
        <w:gridCol w:w="698"/>
        <w:gridCol w:w="824"/>
        <w:gridCol w:w="697"/>
        <w:gridCol w:w="880"/>
        <w:gridCol w:w="617"/>
        <w:gridCol w:w="645"/>
        <w:gridCol w:w="779"/>
        <w:gridCol w:w="664"/>
        <w:gridCol w:w="944"/>
        <w:gridCol w:w="784"/>
      </w:tblGrid>
      <w:tr w:rsidR="001E2A5C" w:rsidRPr="00F64CDE" w:rsidTr="001E2A5C">
        <w:trPr>
          <w:jc w:val="center"/>
        </w:trPr>
        <w:tc>
          <w:tcPr>
            <w:tcW w:w="2886" w:type="dxa"/>
          </w:tcPr>
          <w:p w:rsidR="002A62C6" w:rsidRPr="00F64CDE" w:rsidRDefault="002A62C6" w:rsidP="00891FD0">
            <w:pPr>
              <w:jc w:val="center"/>
              <w:rPr>
                <w:sz w:val="20"/>
                <w:szCs w:val="20"/>
              </w:rPr>
            </w:pPr>
            <w:r w:rsidRPr="00F64CDE">
              <w:rPr>
                <w:sz w:val="20"/>
                <w:szCs w:val="20"/>
              </w:rPr>
              <w:t>usuario</w:t>
            </w:r>
          </w:p>
        </w:tc>
        <w:tc>
          <w:tcPr>
            <w:tcW w:w="962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Administ</w:t>
            </w:r>
            <w:r>
              <w:rPr>
                <w:sz w:val="12"/>
                <w:szCs w:val="12"/>
              </w:rPr>
              <w:t xml:space="preserve">rador </w:t>
            </w:r>
            <w:r w:rsidRPr="00F64CDE">
              <w:rPr>
                <w:sz w:val="12"/>
                <w:szCs w:val="12"/>
              </w:rPr>
              <w:t xml:space="preserve"> Unidad</w:t>
            </w:r>
          </w:p>
        </w:tc>
        <w:tc>
          <w:tcPr>
            <w:tcW w:w="652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 xml:space="preserve">Archivo </w:t>
            </w:r>
          </w:p>
        </w:tc>
        <w:tc>
          <w:tcPr>
            <w:tcW w:w="811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Asignar expediente</w:t>
            </w:r>
          </w:p>
        </w:tc>
        <w:tc>
          <w:tcPr>
            <w:tcW w:w="753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Asistente dirección</w:t>
            </w:r>
          </w:p>
        </w:tc>
        <w:tc>
          <w:tcPr>
            <w:tcW w:w="917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Consulta de asignaciones</w:t>
            </w:r>
          </w:p>
        </w:tc>
        <w:tc>
          <w:tcPr>
            <w:tcW w:w="699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Creación plantillas</w:t>
            </w:r>
          </w:p>
        </w:tc>
        <w:tc>
          <w:tcPr>
            <w:tcW w:w="827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Creación </w:t>
            </w:r>
            <w:r w:rsidRPr="00F64CDE">
              <w:rPr>
                <w:sz w:val="12"/>
                <w:szCs w:val="12"/>
              </w:rPr>
              <w:t>Restringida</w:t>
            </w:r>
          </w:p>
        </w:tc>
        <w:tc>
          <w:tcPr>
            <w:tcW w:w="697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Creación sensible </w:t>
            </w:r>
          </w:p>
        </w:tc>
        <w:tc>
          <w:tcPr>
            <w:tcW w:w="888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Ingreso</w:t>
            </w:r>
          </w:p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Confidencial</w:t>
            </w:r>
          </w:p>
        </w:tc>
        <w:tc>
          <w:tcPr>
            <w:tcW w:w="617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Ingreso</w:t>
            </w:r>
          </w:p>
        </w:tc>
        <w:tc>
          <w:tcPr>
            <w:tcW w:w="652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Lectura General</w:t>
            </w:r>
          </w:p>
        </w:tc>
        <w:tc>
          <w:tcPr>
            <w:tcW w:w="786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 xml:space="preserve">Lectura </w:t>
            </w:r>
          </w:p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Metadatos</w:t>
            </w:r>
          </w:p>
        </w:tc>
        <w:tc>
          <w:tcPr>
            <w:tcW w:w="684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Permiso acceso</w:t>
            </w:r>
          </w:p>
        </w:tc>
        <w:tc>
          <w:tcPr>
            <w:tcW w:w="944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Reasignación</w:t>
            </w:r>
          </w:p>
        </w:tc>
        <w:tc>
          <w:tcPr>
            <w:tcW w:w="784" w:type="dxa"/>
          </w:tcPr>
          <w:p w:rsidR="002A62C6" w:rsidRPr="00F64CDE" w:rsidRDefault="002A62C6" w:rsidP="00891FD0">
            <w:pPr>
              <w:jc w:val="both"/>
              <w:rPr>
                <w:sz w:val="12"/>
                <w:szCs w:val="12"/>
              </w:rPr>
            </w:pPr>
            <w:r w:rsidRPr="00F64CDE">
              <w:rPr>
                <w:sz w:val="12"/>
                <w:szCs w:val="12"/>
              </w:rPr>
              <w:t>Recepción</w:t>
            </w:r>
          </w:p>
        </w:tc>
      </w:tr>
      <w:tr w:rsidR="001E2A5C" w:rsidTr="001E2A5C">
        <w:trPr>
          <w:jc w:val="center"/>
        </w:trPr>
        <w:tc>
          <w:tcPr>
            <w:tcW w:w="28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6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11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53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9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2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88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8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4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4" w:type="dxa"/>
          </w:tcPr>
          <w:p w:rsidR="002A62C6" w:rsidRDefault="002A62C6" w:rsidP="00891FD0">
            <w:pPr>
              <w:jc w:val="both"/>
            </w:pPr>
          </w:p>
        </w:tc>
      </w:tr>
      <w:tr w:rsidR="001E2A5C" w:rsidTr="001E2A5C">
        <w:trPr>
          <w:jc w:val="center"/>
        </w:trPr>
        <w:tc>
          <w:tcPr>
            <w:tcW w:w="28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6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11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53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9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2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88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8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4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4" w:type="dxa"/>
          </w:tcPr>
          <w:p w:rsidR="002A62C6" w:rsidRDefault="002A62C6" w:rsidP="00891FD0">
            <w:pPr>
              <w:jc w:val="both"/>
            </w:pPr>
          </w:p>
        </w:tc>
      </w:tr>
      <w:tr w:rsidR="001E2A5C" w:rsidTr="001E2A5C">
        <w:trPr>
          <w:jc w:val="center"/>
        </w:trPr>
        <w:tc>
          <w:tcPr>
            <w:tcW w:w="28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6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11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53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9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2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88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8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4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4" w:type="dxa"/>
          </w:tcPr>
          <w:p w:rsidR="002A62C6" w:rsidRDefault="002A62C6" w:rsidP="00891FD0">
            <w:pPr>
              <w:jc w:val="both"/>
            </w:pPr>
          </w:p>
        </w:tc>
      </w:tr>
      <w:tr w:rsidR="001E2A5C" w:rsidTr="001E2A5C">
        <w:trPr>
          <w:jc w:val="center"/>
        </w:trPr>
        <w:tc>
          <w:tcPr>
            <w:tcW w:w="28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6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11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53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9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2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88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8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4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4" w:type="dxa"/>
          </w:tcPr>
          <w:p w:rsidR="002A62C6" w:rsidRDefault="002A62C6" w:rsidP="00891FD0">
            <w:pPr>
              <w:jc w:val="both"/>
            </w:pPr>
          </w:p>
        </w:tc>
      </w:tr>
      <w:tr w:rsidR="001E2A5C" w:rsidTr="001E2A5C">
        <w:trPr>
          <w:jc w:val="center"/>
        </w:trPr>
        <w:tc>
          <w:tcPr>
            <w:tcW w:w="28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6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11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53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9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2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9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888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17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52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6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68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944" w:type="dxa"/>
          </w:tcPr>
          <w:p w:rsidR="002A62C6" w:rsidRDefault="002A62C6" w:rsidP="00891FD0">
            <w:pPr>
              <w:jc w:val="both"/>
            </w:pPr>
          </w:p>
        </w:tc>
        <w:tc>
          <w:tcPr>
            <w:tcW w:w="784" w:type="dxa"/>
          </w:tcPr>
          <w:p w:rsidR="002A62C6" w:rsidRDefault="002A62C6" w:rsidP="00891FD0">
            <w:pPr>
              <w:jc w:val="both"/>
            </w:pPr>
          </w:p>
        </w:tc>
      </w:tr>
    </w:tbl>
    <w:p w:rsidR="006D7C67" w:rsidRDefault="006D7C67" w:rsidP="006D7C67">
      <w:pPr>
        <w:jc w:val="both"/>
      </w:pPr>
    </w:p>
    <w:p w:rsidR="006D7C67" w:rsidRDefault="006D7C67" w:rsidP="006D7C67">
      <w:pPr>
        <w:jc w:val="both"/>
      </w:pPr>
    </w:p>
    <w:p w:rsidR="006D7C67" w:rsidRDefault="006D7C67" w:rsidP="006D7C67">
      <w:pPr>
        <w:jc w:val="center"/>
        <w:rPr>
          <w:lang w:val="es-CR"/>
        </w:rPr>
      </w:pPr>
    </w:p>
    <w:p w:rsidR="006D7C67" w:rsidRDefault="006D7C67" w:rsidP="006D7C67">
      <w:pPr>
        <w:jc w:val="center"/>
        <w:rPr>
          <w:lang w:val="es-CR"/>
        </w:rPr>
      </w:pPr>
    </w:p>
    <w:p w:rsidR="006D7C67" w:rsidRDefault="006D7C67" w:rsidP="006D7C67">
      <w:pPr>
        <w:rPr>
          <w:lang w:val="es-CR"/>
        </w:rPr>
      </w:pPr>
      <w:r>
        <w:rPr>
          <w:lang w:val="es-CR"/>
        </w:rPr>
        <w:t>Visto bueno</w:t>
      </w:r>
      <w:bookmarkStart w:id="1" w:name="_GoBack"/>
      <w:bookmarkEnd w:id="1"/>
    </w:p>
    <w:p w:rsidR="006D7C67" w:rsidRPr="001043C2" w:rsidRDefault="006D7C67" w:rsidP="006D7C67">
      <w:pPr>
        <w:rPr>
          <w:lang w:val="es-CR"/>
        </w:rPr>
      </w:pPr>
      <w:r>
        <w:rPr>
          <w:lang w:val="es-CR"/>
        </w:rPr>
        <w:t xml:space="preserve">Superior Jerárquico </w:t>
      </w:r>
    </w:p>
    <w:p w:rsidR="006D7C67" w:rsidRPr="006D7C67" w:rsidRDefault="006D7C67" w:rsidP="006D7C67">
      <w:pPr>
        <w:rPr>
          <w:lang w:val="es-CR"/>
        </w:rPr>
      </w:pPr>
    </w:p>
    <w:sectPr w:rsidR="006D7C67" w:rsidRPr="006D7C67" w:rsidSect="006D7C67">
      <w:headerReference w:type="default" r:id="rId8"/>
      <w:pgSz w:w="15840" w:h="12240" w:orient="landscape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  <w:footnote w:id="1">
    <w:p w:rsidR="006D7C67" w:rsidRPr="00AA52B9" w:rsidRDefault="006D7C67" w:rsidP="006D7C67">
      <w:pPr>
        <w:pStyle w:val="Textonotapie"/>
      </w:pPr>
      <w:r>
        <w:rPr>
          <w:rStyle w:val="Refdenotaalpie"/>
        </w:rPr>
        <w:footnoteRef/>
      </w:r>
      <w:r>
        <w:t xml:space="preserve"> Serra </w:t>
      </w:r>
      <w:proofErr w:type="spellStart"/>
      <w:r>
        <w:t>Serra</w:t>
      </w:r>
      <w:proofErr w:type="spellEnd"/>
      <w:r>
        <w:t xml:space="preserve"> (2008) </w:t>
      </w:r>
      <w:r w:rsidRPr="00AA52B9">
        <w:rPr>
          <w:i/>
        </w:rPr>
        <w:t>Los documentos electrónicos. Qué son y cómo se tratan</w:t>
      </w:r>
      <w:r>
        <w:t>, pág. 44</w:t>
      </w:r>
    </w:p>
  </w:footnote>
  <w:footnote w:id="2">
    <w:p w:rsidR="006D7C67" w:rsidRDefault="006D7C67" w:rsidP="006D7C67"/>
  </w:footnote>
  <w:footnote w:id="3">
    <w:p w:rsidR="006D7C67" w:rsidRPr="00C27CE9" w:rsidRDefault="006D7C67" w:rsidP="006D7C67">
      <w:pPr>
        <w:jc w:val="both"/>
        <w:rPr>
          <w:rFonts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C27CE9">
        <w:rPr>
          <w:rFonts w:cs="Arial"/>
          <w:sz w:val="20"/>
          <w:szCs w:val="20"/>
        </w:rPr>
        <w:t xml:space="preserve">De acuerdo con el </w:t>
      </w:r>
      <w:r>
        <w:rPr>
          <w:rFonts w:cs="Arial"/>
          <w:sz w:val="20"/>
          <w:szCs w:val="20"/>
        </w:rPr>
        <w:t xml:space="preserve">artículo 16 del </w:t>
      </w:r>
      <w:r w:rsidRPr="00C27CE9">
        <w:rPr>
          <w:rFonts w:cs="Arial"/>
          <w:sz w:val="20"/>
          <w:szCs w:val="20"/>
        </w:rPr>
        <w:t>Reglamento del Sistema de Archivos de la Universidad de Costa Rica, todas las instancias deben contar con una persona responsable de</w:t>
      </w:r>
      <w:r>
        <w:rPr>
          <w:rFonts w:cs="Arial"/>
          <w:sz w:val="20"/>
          <w:szCs w:val="20"/>
        </w:rPr>
        <w:t xml:space="preserve">l Archivo e informarlo al Archivo Universitario. </w:t>
      </w:r>
    </w:p>
    <w:p w:rsidR="006D7C67" w:rsidRPr="00C72BE3" w:rsidRDefault="006D7C67" w:rsidP="006D7C67">
      <w:pPr>
        <w:pStyle w:val="Textonotapie"/>
      </w:pPr>
    </w:p>
  </w:footnote>
  <w:footnote w:id="4">
    <w:p w:rsidR="006D7C67" w:rsidRDefault="006D7C67" w:rsidP="006D7C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7" w:rsidRDefault="006D7C67">
    <w:pPr>
      <w:pStyle w:val="Encabezado"/>
    </w:pPr>
    <w:r>
      <w:rPr>
        <w:noProof/>
        <w:lang w:val="en-US"/>
      </w:rPr>
      <w:drawing>
        <wp:inline distT="0" distB="0" distL="0" distR="0" wp14:anchorId="560529EC" wp14:editId="1F2620C6">
          <wp:extent cx="5580888" cy="118872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5E9"/>
    <w:multiLevelType w:val="multilevel"/>
    <w:tmpl w:val="DFE29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11"/>
      <w:lvlText w:val="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996809"/>
    <w:multiLevelType w:val="hybridMultilevel"/>
    <w:tmpl w:val="C346FCB4"/>
    <w:lvl w:ilvl="0" w:tplc="604EE4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413FC"/>
    <w:rsid w:val="001E2A5C"/>
    <w:rsid w:val="00247652"/>
    <w:rsid w:val="002A62C6"/>
    <w:rsid w:val="00383CDD"/>
    <w:rsid w:val="0040289A"/>
    <w:rsid w:val="00515D51"/>
    <w:rsid w:val="006041DB"/>
    <w:rsid w:val="006C63B1"/>
    <w:rsid w:val="006D7C67"/>
    <w:rsid w:val="00733D49"/>
    <w:rsid w:val="007E4945"/>
    <w:rsid w:val="00954805"/>
    <w:rsid w:val="009B59F8"/>
    <w:rsid w:val="009C0318"/>
    <w:rsid w:val="009E3470"/>
    <w:rsid w:val="00B3376B"/>
    <w:rsid w:val="00B76BC3"/>
    <w:rsid w:val="00BA2212"/>
    <w:rsid w:val="00C75199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D8C15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52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2476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Ttulo11">
    <w:name w:val="Título 11"/>
    <w:basedOn w:val="Normal"/>
    <w:next w:val="Normal"/>
    <w:uiPriority w:val="9"/>
    <w:qFormat/>
    <w:rsid w:val="00247652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  <w:style w:type="table" w:styleId="Tablaconcuadrcula">
    <w:name w:val="Table Grid"/>
    <w:basedOn w:val="Tablanormal"/>
    <w:uiPriority w:val="59"/>
    <w:rsid w:val="006D7C67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B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19</cp:revision>
  <dcterms:created xsi:type="dcterms:W3CDTF">2019-04-09T19:19:00Z</dcterms:created>
  <dcterms:modified xsi:type="dcterms:W3CDTF">2019-04-23T21:07:00Z</dcterms:modified>
</cp:coreProperties>
</file>